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E34" w:rsidRPr="00265E34" w:rsidRDefault="00265E34" w:rsidP="00265E34">
      <w:pPr>
        <w:jc w:val="center"/>
        <w:rPr>
          <w:b/>
          <w:u w:val="single"/>
        </w:rPr>
      </w:pPr>
      <w:r w:rsidRPr="00265E34">
        <w:rPr>
          <w:b/>
          <w:u w:val="single"/>
        </w:rPr>
        <w:t>Illinois Crowd Funding Law Adopted 7-29-15, Effective 1-1-2016</w:t>
      </w:r>
    </w:p>
    <w:p w:rsidR="00265E34" w:rsidRDefault="00265E34"/>
    <w:p w:rsidR="000A6409" w:rsidRDefault="00153A49">
      <w:hyperlink r:id="rId6" w:history="1">
        <w:r w:rsidRPr="00D332E3">
          <w:rPr>
            <w:rStyle w:val="Hyperlink"/>
          </w:rPr>
          <w:t>https://legiscan.com/IL/bill/HB3429/2015</w:t>
        </w:r>
      </w:hyperlink>
    </w:p>
    <w:p w:rsidR="00153A49" w:rsidRDefault="00153A49"/>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4"/>
        <w:gridCol w:w="1016"/>
        <w:gridCol w:w="4110"/>
      </w:tblGrid>
      <w:tr w:rsidR="00153A49" w:rsidRPr="00153A49" w:rsidTr="00153A49">
        <w:trPr>
          <w:tblCellSpacing w:w="15" w:type="dxa"/>
        </w:trPr>
        <w:tc>
          <w:tcPr>
            <w:tcW w:w="0" w:type="auto"/>
            <w:shd w:val="clear" w:color="auto" w:fill="F2F2F2"/>
            <w:noWrap/>
            <w:tcMar>
              <w:top w:w="72" w:type="dxa"/>
              <w:left w:w="120" w:type="dxa"/>
              <w:bottom w:w="72" w:type="dxa"/>
              <w:right w:w="120" w:type="dxa"/>
            </w:tcMar>
            <w:vAlign w:val="center"/>
            <w:hideMark/>
          </w:tcPr>
          <w:p w:rsidR="00153A49" w:rsidRPr="00153A49" w:rsidRDefault="00153A49" w:rsidP="00153A49">
            <w:pPr>
              <w:rPr>
                <w:rFonts w:ascii="Verdana" w:eastAsia="Times New Roman" w:hAnsi="Verdana" w:cs="Times New Roman"/>
              </w:rPr>
            </w:pPr>
            <w:r w:rsidRPr="00153A49">
              <w:rPr>
                <w:rFonts w:ascii="Verdana" w:eastAsia="Times New Roman" w:hAnsi="Verdana" w:cs="Times New Roman"/>
              </w:rPr>
              <w:t>2015-07-29</w:t>
            </w:r>
          </w:p>
        </w:tc>
        <w:tc>
          <w:tcPr>
            <w:tcW w:w="0" w:type="auto"/>
            <w:shd w:val="clear" w:color="auto" w:fill="F2F2F2"/>
            <w:tcMar>
              <w:top w:w="72" w:type="dxa"/>
              <w:left w:w="120" w:type="dxa"/>
              <w:bottom w:w="72" w:type="dxa"/>
              <w:right w:w="120" w:type="dxa"/>
            </w:tcMar>
            <w:vAlign w:val="center"/>
            <w:hideMark/>
          </w:tcPr>
          <w:p w:rsidR="00153A49" w:rsidRPr="00153A49" w:rsidRDefault="00153A49" w:rsidP="00153A49">
            <w:pPr>
              <w:rPr>
                <w:rFonts w:ascii="Verdana" w:eastAsia="Times New Roman" w:hAnsi="Verdana" w:cs="Times New Roman"/>
              </w:rPr>
            </w:pPr>
            <w:r w:rsidRPr="00153A49">
              <w:rPr>
                <w:rFonts w:ascii="Verdana" w:eastAsia="Times New Roman" w:hAnsi="Verdana" w:cs="Times New Roman"/>
              </w:rPr>
              <w:t>House</w:t>
            </w:r>
          </w:p>
        </w:tc>
        <w:tc>
          <w:tcPr>
            <w:tcW w:w="0" w:type="auto"/>
            <w:shd w:val="clear" w:color="auto" w:fill="F2F2F2"/>
            <w:tcMar>
              <w:top w:w="72" w:type="dxa"/>
              <w:left w:w="120" w:type="dxa"/>
              <w:bottom w:w="72" w:type="dxa"/>
              <w:right w:w="120" w:type="dxa"/>
            </w:tcMar>
            <w:vAlign w:val="center"/>
            <w:hideMark/>
          </w:tcPr>
          <w:p w:rsidR="00153A49" w:rsidRPr="00153A49" w:rsidRDefault="00153A49" w:rsidP="00153A49">
            <w:pPr>
              <w:rPr>
                <w:rFonts w:ascii="Verdana" w:eastAsia="Times New Roman" w:hAnsi="Verdana" w:cs="Times New Roman"/>
              </w:rPr>
            </w:pPr>
            <w:r w:rsidRPr="00153A49">
              <w:rPr>
                <w:rFonts w:ascii="Verdana" w:eastAsia="Times New Roman" w:hAnsi="Verdana" w:cs="Times New Roman"/>
              </w:rPr>
              <w:t>Public Act . . . . . . . . . 99-0182</w:t>
            </w:r>
          </w:p>
        </w:tc>
      </w:tr>
      <w:tr w:rsidR="00153A49" w:rsidRPr="00153A49" w:rsidTr="00153A49">
        <w:trPr>
          <w:tblCellSpacing w:w="15" w:type="dxa"/>
        </w:trPr>
        <w:tc>
          <w:tcPr>
            <w:tcW w:w="0" w:type="auto"/>
            <w:shd w:val="clear" w:color="auto" w:fill="FDFDFD"/>
            <w:noWrap/>
            <w:tcMar>
              <w:top w:w="72" w:type="dxa"/>
              <w:left w:w="120" w:type="dxa"/>
              <w:bottom w:w="72" w:type="dxa"/>
              <w:right w:w="120" w:type="dxa"/>
            </w:tcMar>
            <w:vAlign w:val="center"/>
            <w:hideMark/>
          </w:tcPr>
          <w:p w:rsidR="00153A49" w:rsidRPr="00153A49" w:rsidRDefault="00153A49" w:rsidP="00153A49">
            <w:pPr>
              <w:rPr>
                <w:rFonts w:ascii="Verdana" w:eastAsia="Times New Roman" w:hAnsi="Verdana" w:cs="Times New Roman"/>
              </w:rPr>
            </w:pPr>
            <w:r w:rsidRPr="00153A49">
              <w:rPr>
                <w:rFonts w:ascii="Verdana" w:eastAsia="Times New Roman" w:hAnsi="Verdana" w:cs="Times New Roman"/>
              </w:rPr>
              <w:t>2015-07-29</w:t>
            </w:r>
          </w:p>
        </w:tc>
        <w:tc>
          <w:tcPr>
            <w:tcW w:w="0" w:type="auto"/>
            <w:shd w:val="clear" w:color="auto" w:fill="FDFDFD"/>
            <w:tcMar>
              <w:top w:w="72" w:type="dxa"/>
              <w:left w:w="120" w:type="dxa"/>
              <w:bottom w:w="72" w:type="dxa"/>
              <w:right w:w="120" w:type="dxa"/>
            </w:tcMar>
            <w:vAlign w:val="center"/>
            <w:hideMark/>
          </w:tcPr>
          <w:p w:rsidR="00153A49" w:rsidRPr="00153A49" w:rsidRDefault="00153A49" w:rsidP="00153A49">
            <w:pPr>
              <w:rPr>
                <w:rFonts w:ascii="Verdana" w:eastAsia="Times New Roman" w:hAnsi="Verdana" w:cs="Times New Roman"/>
              </w:rPr>
            </w:pPr>
            <w:r w:rsidRPr="00153A49">
              <w:rPr>
                <w:rFonts w:ascii="Verdana" w:eastAsia="Times New Roman" w:hAnsi="Verdana" w:cs="Times New Roman"/>
              </w:rPr>
              <w:t>House</w:t>
            </w:r>
          </w:p>
        </w:tc>
        <w:tc>
          <w:tcPr>
            <w:tcW w:w="0" w:type="auto"/>
            <w:shd w:val="clear" w:color="auto" w:fill="FDFDFD"/>
            <w:tcMar>
              <w:top w:w="72" w:type="dxa"/>
              <w:left w:w="120" w:type="dxa"/>
              <w:bottom w:w="72" w:type="dxa"/>
              <w:right w:w="120" w:type="dxa"/>
            </w:tcMar>
            <w:vAlign w:val="center"/>
            <w:hideMark/>
          </w:tcPr>
          <w:p w:rsidR="00153A49" w:rsidRPr="00153A49" w:rsidRDefault="00153A49" w:rsidP="00153A49">
            <w:pPr>
              <w:rPr>
                <w:rFonts w:ascii="Verdana" w:eastAsia="Times New Roman" w:hAnsi="Verdana" w:cs="Times New Roman"/>
              </w:rPr>
            </w:pPr>
            <w:r w:rsidRPr="00153A49">
              <w:rPr>
                <w:rFonts w:ascii="Verdana" w:eastAsia="Times New Roman" w:hAnsi="Verdana" w:cs="Times New Roman"/>
              </w:rPr>
              <w:t>Effective Date January 1, 2016</w:t>
            </w:r>
          </w:p>
        </w:tc>
      </w:tr>
      <w:tr w:rsidR="00153A49" w:rsidRPr="00153A49" w:rsidTr="00153A49">
        <w:trPr>
          <w:tblCellSpacing w:w="15" w:type="dxa"/>
        </w:trPr>
        <w:tc>
          <w:tcPr>
            <w:tcW w:w="0" w:type="auto"/>
            <w:shd w:val="clear" w:color="auto" w:fill="F2F2F2"/>
            <w:noWrap/>
            <w:tcMar>
              <w:top w:w="72" w:type="dxa"/>
              <w:left w:w="120" w:type="dxa"/>
              <w:bottom w:w="72" w:type="dxa"/>
              <w:right w:w="120" w:type="dxa"/>
            </w:tcMar>
            <w:vAlign w:val="center"/>
            <w:hideMark/>
          </w:tcPr>
          <w:p w:rsidR="00153A49" w:rsidRPr="00153A49" w:rsidRDefault="00153A49" w:rsidP="00153A49">
            <w:pPr>
              <w:rPr>
                <w:rFonts w:ascii="Verdana" w:eastAsia="Times New Roman" w:hAnsi="Verdana" w:cs="Times New Roman"/>
              </w:rPr>
            </w:pPr>
            <w:r w:rsidRPr="00153A49">
              <w:rPr>
                <w:rFonts w:ascii="Verdana" w:eastAsia="Times New Roman" w:hAnsi="Verdana" w:cs="Times New Roman"/>
              </w:rPr>
              <w:t>2015-07-29</w:t>
            </w:r>
          </w:p>
        </w:tc>
        <w:tc>
          <w:tcPr>
            <w:tcW w:w="0" w:type="auto"/>
            <w:shd w:val="clear" w:color="auto" w:fill="F2F2F2"/>
            <w:tcMar>
              <w:top w:w="72" w:type="dxa"/>
              <w:left w:w="120" w:type="dxa"/>
              <w:bottom w:w="72" w:type="dxa"/>
              <w:right w:w="120" w:type="dxa"/>
            </w:tcMar>
            <w:vAlign w:val="center"/>
            <w:hideMark/>
          </w:tcPr>
          <w:p w:rsidR="00153A49" w:rsidRPr="00153A49" w:rsidRDefault="00153A49" w:rsidP="00153A49">
            <w:pPr>
              <w:rPr>
                <w:rFonts w:ascii="Verdana" w:eastAsia="Times New Roman" w:hAnsi="Verdana" w:cs="Times New Roman"/>
              </w:rPr>
            </w:pPr>
            <w:r w:rsidRPr="00153A49">
              <w:rPr>
                <w:rFonts w:ascii="Verdana" w:eastAsia="Times New Roman" w:hAnsi="Verdana" w:cs="Times New Roman"/>
              </w:rPr>
              <w:t>House</w:t>
            </w:r>
          </w:p>
        </w:tc>
        <w:tc>
          <w:tcPr>
            <w:tcW w:w="0" w:type="auto"/>
            <w:shd w:val="clear" w:color="auto" w:fill="F2F2F2"/>
            <w:tcMar>
              <w:top w:w="72" w:type="dxa"/>
              <w:left w:w="120" w:type="dxa"/>
              <w:bottom w:w="72" w:type="dxa"/>
              <w:right w:w="120" w:type="dxa"/>
            </w:tcMar>
            <w:vAlign w:val="center"/>
            <w:hideMark/>
          </w:tcPr>
          <w:p w:rsidR="00153A49" w:rsidRPr="00153A49" w:rsidRDefault="00153A49" w:rsidP="00153A49">
            <w:pPr>
              <w:rPr>
                <w:rFonts w:ascii="Verdana" w:eastAsia="Times New Roman" w:hAnsi="Verdana" w:cs="Times New Roman"/>
              </w:rPr>
            </w:pPr>
            <w:r w:rsidRPr="00153A49">
              <w:rPr>
                <w:rFonts w:ascii="Verdana" w:eastAsia="Times New Roman" w:hAnsi="Verdana" w:cs="Times New Roman"/>
              </w:rPr>
              <w:t>Governor Approved</w:t>
            </w:r>
          </w:p>
        </w:tc>
      </w:tr>
      <w:tr w:rsidR="00153A49" w:rsidRPr="00153A49" w:rsidTr="00153A49">
        <w:trPr>
          <w:tblCellSpacing w:w="15" w:type="dxa"/>
        </w:trPr>
        <w:tc>
          <w:tcPr>
            <w:tcW w:w="0" w:type="auto"/>
            <w:shd w:val="clear" w:color="auto" w:fill="FDFDFD"/>
            <w:noWrap/>
            <w:tcMar>
              <w:top w:w="72" w:type="dxa"/>
              <w:left w:w="120" w:type="dxa"/>
              <w:bottom w:w="72" w:type="dxa"/>
              <w:right w:w="120" w:type="dxa"/>
            </w:tcMar>
            <w:vAlign w:val="center"/>
            <w:hideMark/>
          </w:tcPr>
          <w:p w:rsidR="00153A49" w:rsidRPr="00153A49" w:rsidRDefault="00153A49" w:rsidP="00153A49">
            <w:pPr>
              <w:rPr>
                <w:rFonts w:ascii="Verdana" w:eastAsia="Times New Roman" w:hAnsi="Verdana" w:cs="Times New Roman"/>
              </w:rPr>
            </w:pPr>
            <w:r w:rsidRPr="00153A49">
              <w:rPr>
                <w:rFonts w:ascii="Verdana" w:eastAsia="Times New Roman" w:hAnsi="Verdana" w:cs="Times New Roman"/>
              </w:rPr>
              <w:t>2015-06-18</w:t>
            </w:r>
          </w:p>
        </w:tc>
        <w:tc>
          <w:tcPr>
            <w:tcW w:w="0" w:type="auto"/>
            <w:shd w:val="clear" w:color="auto" w:fill="FDFDFD"/>
            <w:tcMar>
              <w:top w:w="72" w:type="dxa"/>
              <w:left w:w="120" w:type="dxa"/>
              <w:bottom w:w="72" w:type="dxa"/>
              <w:right w:w="120" w:type="dxa"/>
            </w:tcMar>
            <w:vAlign w:val="center"/>
            <w:hideMark/>
          </w:tcPr>
          <w:p w:rsidR="00153A49" w:rsidRPr="00153A49" w:rsidRDefault="00153A49" w:rsidP="00153A49">
            <w:pPr>
              <w:rPr>
                <w:rFonts w:ascii="Verdana" w:eastAsia="Times New Roman" w:hAnsi="Verdana" w:cs="Times New Roman"/>
              </w:rPr>
            </w:pPr>
            <w:r w:rsidRPr="00153A49">
              <w:rPr>
                <w:rFonts w:ascii="Verdana" w:eastAsia="Times New Roman" w:hAnsi="Verdana" w:cs="Times New Roman"/>
              </w:rPr>
              <w:t>House</w:t>
            </w:r>
          </w:p>
        </w:tc>
        <w:tc>
          <w:tcPr>
            <w:tcW w:w="0" w:type="auto"/>
            <w:shd w:val="clear" w:color="auto" w:fill="FDFDFD"/>
            <w:tcMar>
              <w:top w:w="72" w:type="dxa"/>
              <w:left w:w="120" w:type="dxa"/>
              <w:bottom w:w="72" w:type="dxa"/>
              <w:right w:w="120" w:type="dxa"/>
            </w:tcMar>
            <w:vAlign w:val="center"/>
            <w:hideMark/>
          </w:tcPr>
          <w:p w:rsidR="00153A49" w:rsidRPr="00153A49" w:rsidRDefault="00153A49" w:rsidP="00153A49">
            <w:pPr>
              <w:rPr>
                <w:rFonts w:ascii="Verdana" w:eastAsia="Times New Roman" w:hAnsi="Verdana" w:cs="Times New Roman"/>
              </w:rPr>
            </w:pPr>
            <w:r w:rsidRPr="00153A49">
              <w:rPr>
                <w:rFonts w:ascii="Verdana" w:eastAsia="Times New Roman" w:hAnsi="Verdana" w:cs="Times New Roman"/>
              </w:rPr>
              <w:t>Sent to the Governor</w:t>
            </w:r>
          </w:p>
        </w:tc>
      </w:tr>
      <w:tr w:rsidR="00153A49" w:rsidRPr="00153A49" w:rsidTr="00153A49">
        <w:trPr>
          <w:tblCellSpacing w:w="15" w:type="dxa"/>
        </w:trPr>
        <w:tc>
          <w:tcPr>
            <w:tcW w:w="0" w:type="auto"/>
            <w:shd w:val="clear" w:color="auto" w:fill="F2F2F2"/>
            <w:noWrap/>
            <w:tcMar>
              <w:top w:w="72" w:type="dxa"/>
              <w:left w:w="120" w:type="dxa"/>
              <w:bottom w:w="72" w:type="dxa"/>
              <w:right w:w="120" w:type="dxa"/>
            </w:tcMar>
            <w:vAlign w:val="center"/>
            <w:hideMark/>
          </w:tcPr>
          <w:p w:rsidR="00153A49" w:rsidRPr="00153A49" w:rsidRDefault="00153A49" w:rsidP="00153A49">
            <w:pPr>
              <w:rPr>
                <w:rFonts w:ascii="Verdana" w:eastAsia="Times New Roman" w:hAnsi="Verdana" w:cs="Times New Roman"/>
              </w:rPr>
            </w:pPr>
            <w:r w:rsidRPr="00153A49">
              <w:rPr>
                <w:rFonts w:ascii="Verdana" w:eastAsia="Times New Roman" w:hAnsi="Verdana" w:cs="Times New Roman"/>
              </w:rPr>
              <w:t>2015-05-20</w:t>
            </w:r>
          </w:p>
        </w:tc>
        <w:tc>
          <w:tcPr>
            <w:tcW w:w="0" w:type="auto"/>
            <w:shd w:val="clear" w:color="auto" w:fill="F2F2F2"/>
            <w:tcMar>
              <w:top w:w="72" w:type="dxa"/>
              <w:left w:w="120" w:type="dxa"/>
              <w:bottom w:w="72" w:type="dxa"/>
              <w:right w:w="120" w:type="dxa"/>
            </w:tcMar>
            <w:vAlign w:val="center"/>
            <w:hideMark/>
          </w:tcPr>
          <w:p w:rsidR="00153A49" w:rsidRPr="00153A49" w:rsidRDefault="00153A49" w:rsidP="00153A49">
            <w:pPr>
              <w:rPr>
                <w:rFonts w:ascii="Verdana" w:eastAsia="Times New Roman" w:hAnsi="Verdana" w:cs="Times New Roman"/>
              </w:rPr>
            </w:pPr>
            <w:r w:rsidRPr="00153A49">
              <w:rPr>
                <w:rFonts w:ascii="Verdana" w:eastAsia="Times New Roman" w:hAnsi="Verdana" w:cs="Times New Roman"/>
              </w:rPr>
              <w:t>House</w:t>
            </w:r>
          </w:p>
        </w:tc>
        <w:tc>
          <w:tcPr>
            <w:tcW w:w="0" w:type="auto"/>
            <w:shd w:val="clear" w:color="auto" w:fill="F2F2F2"/>
            <w:tcMar>
              <w:top w:w="72" w:type="dxa"/>
              <w:left w:w="120" w:type="dxa"/>
              <w:bottom w:w="72" w:type="dxa"/>
              <w:right w:w="120" w:type="dxa"/>
            </w:tcMar>
            <w:vAlign w:val="center"/>
            <w:hideMark/>
          </w:tcPr>
          <w:p w:rsidR="00153A49" w:rsidRPr="00153A49" w:rsidRDefault="00153A49" w:rsidP="00153A49">
            <w:pPr>
              <w:rPr>
                <w:rFonts w:ascii="Verdana" w:eastAsia="Times New Roman" w:hAnsi="Verdana" w:cs="Times New Roman"/>
              </w:rPr>
            </w:pPr>
            <w:r w:rsidRPr="00153A49">
              <w:rPr>
                <w:rFonts w:ascii="Verdana" w:eastAsia="Times New Roman" w:hAnsi="Verdana" w:cs="Times New Roman"/>
              </w:rPr>
              <w:t>Passed Both Houses</w:t>
            </w:r>
          </w:p>
        </w:tc>
      </w:tr>
    </w:tbl>
    <w:p w:rsidR="00153A49" w:rsidRDefault="00153A49"/>
    <w:p w:rsidR="00153A49" w:rsidRDefault="00153A49" w:rsidP="00153A49">
      <w:pPr>
        <w:pStyle w:val="Heading2"/>
        <w:shd w:val="clear" w:color="auto" w:fill="FEFEFE"/>
        <w:spacing w:before="0" w:after="45"/>
        <w:rPr>
          <w:rFonts w:ascii="Verdana" w:hAnsi="Verdana"/>
          <w:b w:val="0"/>
          <w:bCs w:val="0"/>
          <w:sz w:val="32"/>
          <w:szCs w:val="32"/>
          <w:lang w:val="en"/>
        </w:rPr>
      </w:pPr>
      <w:r>
        <w:rPr>
          <w:rFonts w:ascii="Verdana" w:hAnsi="Verdana"/>
          <w:b w:val="0"/>
          <w:bCs w:val="0"/>
          <w:sz w:val="32"/>
          <w:szCs w:val="32"/>
          <w:lang w:val="en"/>
        </w:rPr>
        <w:t>Status</w:t>
      </w:r>
    </w:p>
    <w:p w:rsidR="000079F9" w:rsidRDefault="00153A49" w:rsidP="00153A49">
      <w:pPr>
        <w:shd w:val="clear" w:color="auto" w:fill="FEFEFE"/>
        <w:spacing w:line="309" w:lineRule="atLeast"/>
        <w:rPr>
          <w:rFonts w:ascii="Verdana" w:hAnsi="Verdana"/>
          <w:sz w:val="21"/>
          <w:szCs w:val="21"/>
          <w:lang w:val="en"/>
        </w:rPr>
      </w:pPr>
      <w:r>
        <w:rPr>
          <w:rFonts w:ascii="Verdana" w:hAnsi="Verdana"/>
          <w:b/>
          <w:bCs/>
          <w:sz w:val="21"/>
          <w:szCs w:val="21"/>
          <w:lang w:val="en"/>
        </w:rPr>
        <w:t>Completed Legislative Action</w:t>
      </w:r>
      <w:r>
        <w:rPr>
          <w:rFonts w:ascii="Verdana" w:hAnsi="Verdana"/>
          <w:sz w:val="21"/>
          <w:szCs w:val="21"/>
          <w:lang w:val="en"/>
        </w:rPr>
        <w:br/>
        <w:t>Spectrum: Slight Partisan Bill (Democrat 48-25)</w:t>
      </w:r>
      <w:r>
        <w:rPr>
          <w:rFonts w:ascii="Verdana" w:hAnsi="Verdana"/>
          <w:sz w:val="21"/>
          <w:szCs w:val="21"/>
          <w:lang w:val="en"/>
        </w:rPr>
        <w:br/>
        <w:t>Status: Passed on July 29 2015 - 100% progression</w:t>
      </w:r>
      <w:r>
        <w:rPr>
          <w:rFonts w:ascii="Verdana" w:hAnsi="Verdana"/>
          <w:sz w:val="21"/>
          <w:szCs w:val="21"/>
          <w:lang w:val="en"/>
        </w:rPr>
        <w:br/>
        <w:t>Action: 2015-07-29 - Public Act . . . . . . . . . 99-0182</w:t>
      </w:r>
    </w:p>
    <w:p w:rsidR="00153A49" w:rsidRDefault="00153A49" w:rsidP="00153A49">
      <w:pPr>
        <w:shd w:val="clear" w:color="auto" w:fill="FEFEFE"/>
        <w:spacing w:line="309" w:lineRule="atLeast"/>
        <w:rPr>
          <w:rFonts w:ascii="Verdana" w:hAnsi="Verdana"/>
          <w:sz w:val="21"/>
          <w:szCs w:val="21"/>
          <w:lang w:val="en"/>
        </w:rPr>
      </w:pPr>
      <w:bookmarkStart w:id="0" w:name="_GoBack"/>
      <w:bookmarkEnd w:id="0"/>
      <w:r>
        <w:rPr>
          <w:rFonts w:ascii="Verdana" w:hAnsi="Verdana"/>
          <w:sz w:val="21"/>
          <w:szCs w:val="21"/>
          <w:lang w:val="en"/>
        </w:rPr>
        <w:br/>
        <w:t xml:space="preserve">Text: </w:t>
      </w:r>
      <w:hyperlink r:id="rId7" w:tooltip="View latest bill text for Illinois HB3429" w:history="1">
        <w:r>
          <w:rPr>
            <w:rStyle w:val="Hyperlink"/>
            <w:rFonts w:ascii="Verdana" w:hAnsi="Verdana"/>
            <w:sz w:val="21"/>
            <w:szCs w:val="21"/>
            <w:lang w:val="en"/>
          </w:rPr>
          <w:t>Latest bill text (Chaptered) [HTML]</w:t>
        </w:r>
      </w:hyperlink>
    </w:p>
    <w:p w:rsidR="00153A49" w:rsidRDefault="00153A49" w:rsidP="00153A49">
      <w:pPr>
        <w:shd w:val="clear" w:color="auto" w:fill="FEFEFE"/>
        <w:spacing w:line="309" w:lineRule="atLeast"/>
        <w:rPr>
          <w:rFonts w:ascii="Verdana" w:hAnsi="Verdana"/>
          <w:sz w:val="21"/>
          <w:szCs w:val="21"/>
          <w:lang w:val="en"/>
        </w:rPr>
      </w:pPr>
      <w:r>
        <w:rPr>
          <w:rFonts w:ascii="Verdana" w:hAnsi="Verdana"/>
          <w:sz w:val="21"/>
          <w:szCs w:val="21"/>
          <w:lang w:val="en"/>
        </w:rPr>
        <w:br/>
      </w:r>
    </w:p>
    <w:p w:rsidR="00153A49" w:rsidRDefault="00153A49" w:rsidP="00153A49">
      <w:pPr>
        <w:pStyle w:val="Heading2"/>
        <w:shd w:val="clear" w:color="auto" w:fill="FEFEFE"/>
        <w:spacing w:before="0" w:after="45"/>
        <w:rPr>
          <w:rFonts w:ascii="Verdana" w:hAnsi="Verdana"/>
          <w:b w:val="0"/>
          <w:bCs w:val="0"/>
          <w:sz w:val="32"/>
          <w:szCs w:val="32"/>
          <w:lang w:val="en"/>
        </w:rPr>
      </w:pPr>
      <w:r>
        <w:rPr>
          <w:rFonts w:ascii="Verdana" w:hAnsi="Verdana"/>
          <w:b w:val="0"/>
          <w:bCs w:val="0"/>
          <w:sz w:val="32"/>
          <w:szCs w:val="32"/>
          <w:lang w:val="en"/>
        </w:rPr>
        <w:t>Summary</w:t>
      </w:r>
    </w:p>
    <w:p w:rsidR="00153A49" w:rsidRDefault="00153A49" w:rsidP="00153A49">
      <w:pPr>
        <w:shd w:val="clear" w:color="auto" w:fill="FEFEFE"/>
        <w:spacing w:line="309" w:lineRule="atLeast"/>
        <w:rPr>
          <w:rFonts w:ascii="Verdana" w:hAnsi="Verdana"/>
          <w:sz w:val="21"/>
          <w:szCs w:val="21"/>
          <w:lang w:val="en"/>
        </w:rPr>
      </w:pPr>
      <w:r>
        <w:rPr>
          <w:rFonts w:ascii="Verdana" w:hAnsi="Verdana"/>
          <w:sz w:val="21"/>
          <w:szCs w:val="21"/>
          <w:lang w:val="en"/>
        </w:rPr>
        <w:t>Amends the Illinois Securities Law of 1953. Creates an exemption from certain filing and registration requirements under the Act for intrastate securities offerings that meet certain conditions, including that (1) the offering meets all of the requirements of the federal exemption for intrastate offerings provided under the Securities Act of 1933; (2) the aggregate purchase price of all securities sold by an issuer within any 12-month period does not exceed: (i) $3,000,000; or (ii) $5,000,000 if the issuer has undergone and made available certain financial statements to specified persons; and (3) the aggregate amount sold to any purchaser in an offering of securities made within any consecutive 12-month period does not exceed certain monetary limitations. Provides that an issuer may make an offering or sale of securities through the use of one or more qualified Internet portals, subject to certain requirements, including that (i) the Internet portal shall at all times be owned by a corporation or other legal entity which is either organized under the laws of, or is otherwise qualified to do business in, this State; (ii) the Internet portal shall establish and maintain commercially reasonable measures to limit access to any information concerning an offering or sale of the subject securities to residents of this State; and (iii) the Internet portal shall establish and maintain a secure method of communication through the Internet portal itself that will permit potential investors to communicate with one another and with representatives of the issuer about the offering. Requires the Secretary of State to collect a $100 fee for securities offered or sold under the exemption created under this amendatory Act; and a $300 fee for the registration and renewal of a qualified Internet portal. Defines terms.</w:t>
      </w:r>
    </w:p>
    <w:p w:rsidR="00153A49" w:rsidRDefault="00153A49"/>
    <w:p w:rsidR="00153A49" w:rsidRDefault="00153A49"/>
    <w:sectPr w:rsidR="00153A49" w:rsidSect="000E67D1">
      <w:footerReference w:type="default" r:id="rId8"/>
      <w:pgSz w:w="12240" w:h="15840"/>
      <w:pgMar w:top="7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A49" w:rsidRDefault="00153A49" w:rsidP="00EB60E3">
      <w:r>
        <w:separator/>
      </w:r>
    </w:p>
  </w:endnote>
  <w:endnote w:type="continuationSeparator" w:id="0">
    <w:p w:rsidR="00153A49" w:rsidRDefault="00153A49" w:rsidP="00EB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345256"/>
      <w:docPartObj>
        <w:docPartGallery w:val="Page Numbers (Bottom of Page)"/>
        <w:docPartUnique/>
      </w:docPartObj>
    </w:sdtPr>
    <w:sdtEndPr>
      <w:rPr>
        <w:noProof/>
      </w:rPr>
    </w:sdtEndPr>
    <w:sdtContent>
      <w:p w:rsidR="00EB60E3" w:rsidRDefault="00EB60E3">
        <w:pPr>
          <w:pStyle w:val="Footer"/>
          <w:jc w:val="right"/>
        </w:pPr>
        <w:r>
          <w:fldChar w:fldCharType="begin"/>
        </w:r>
        <w:r>
          <w:instrText xml:space="preserve"> PAGE   \* MERGEFORMAT </w:instrText>
        </w:r>
        <w:r>
          <w:fldChar w:fldCharType="separate"/>
        </w:r>
        <w:r w:rsidR="000079F9">
          <w:rPr>
            <w:noProof/>
          </w:rPr>
          <w:t>1</w:t>
        </w:r>
        <w:r>
          <w:rPr>
            <w:noProof/>
          </w:rPr>
          <w:fldChar w:fldCharType="end"/>
        </w:r>
      </w:p>
    </w:sdtContent>
  </w:sdt>
  <w:p w:rsidR="00EB60E3" w:rsidRDefault="00EB60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A49" w:rsidRDefault="00153A49" w:rsidP="00EB60E3">
      <w:r>
        <w:separator/>
      </w:r>
    </w:p>
  </w:footnote>
  <w:footnote w:type="continuationSeparator" w:id="0">
    <w:p w:rsidR="00153A49" w:rsidRDefault="00153A49" w:rsidP="00EB6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A49"/>
    <w:rsid w:val="000079F9"/>
    <w:rsid w:val="00093418"/>
    <w:rsid w:val="000E67D1"/>
    <w:rsid w:val="00153A49"/>
    <w:rsid w:val="00212E2D"/>
    <w:rsid w:val="00265E34"/>
    <w:rsid w:val="003134C9"/>
    <w:rsid w:val="003A416C"/>
    <w:rsid w:val="005A6378"/>
    <w:rsid w:val="00614279"/>
    <w:rsid w:val="008A1253"/>
    <w:rsid w:val="009F2E2B"/>
    <w:rsid w:val="00EB60E3"/>
    <w:rsid w:val="00FA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38793-D055-413F-800F-97DBAC2F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279"/>
  </w:style>
  <w:style w:type="paragraph" w:styleId="Heading2">
    <w:name w:val="heading 2"/>
    <w:basedOn w:val="Normal"/>
    <w:link w:val="Heading2Char"/>
    <w:uiPriority w:val="9"/>
    <w:qFormat/>
    <w:rsid w:val="00153A49"/>
    <w:pPr>
      <w:spacing w:before="160" w:after="160" w:line="312" w:lineRule="atLeas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4279"/>
  </w:style>
  <w:style w:type="paragraph" w:styleId="Header">
    <w:name w:val="header"/>
    <w:basedOn w:val="Normal"/>
    <w:link w:val="HeaderChar"/>
    <w:uiPriority w:val="99"/>
    <w:unhideWhenUsed/>
    <w:rsid w:val="00EB60E3"/>
    <w:pPr>
      <w:tabs>
        <w:tab w:val="center" w:pos="4680"/>
        <w:tab w:val="right" w:pos="9360"/>
      </w:tabs>
    </w:pPr>
  </w:style>
  <w:style w:type="character" w:customStyle="1" w:styleId="HeaderChar">
    <w:name w:val="Header Char"/>
    <w:basedOn w:val="DefaultParagraphFont"/>
    <w:link w:val="Header"/>
    <w:uiPriority w:val="99"/>
    <w:rsid w:val="00EB60E3"/>
  </w:style>
  <w:style w:type="paragraph" w:styleId="Footer">
    <w:name w:val="footer"/>
    <w:basedOn w:val="Normal"/>
    <w:link w:val="FooterChar"/>
    <w:uiPriority w:val="99"/>
    <w:unhideWhenUsed/>
    <w:rsid w:val="00EB60E3"/>
    <w:pPr>
      <w:tabs>
        <w:tab w:val="center" w:pos="4680"/>
        <w:tab w:val="right" w:pos="9360"/>
      </w:tabs>
    </w:pPr>
  </w:style>
  <w:style w:type="character" w:customStyle="1" w:styleId="FooterChar">
    <w:name w:val="Footer Char"/>
    <w:basedOn w:val="DefaultParagraphFont"/>
    <w:link w:val="Footer"/>
    <w:uiPriority w:val="99"/>
    <w:rsid w:val="00EB60E3"/>
  </w:style>
  <w:style w:type="character" w:styleId="Hyperlink">
    <w:name w:val="Hyperlink"/>
    <w:basedOn w:val="DefaultParagraphFont"/>
    <w:uiPriority w:val="99"/>
    <w:unhideWhenUsed/>
    <w:rsid w:val="00153A49"/>
    <w:rPr>
      <w:color w:val="0563C1" w:themeColor="hyperlink"/>
      <w:u w:val="single"/>
    </w:rPr>
  </w:style>
  <w:style w:type="character" w:customStyle="1" w:styleId="Heading2Char">
    <w:name w:val="Heading 2 Char"/>
    <w:basedOn w:val="DefaultParagraphFont"/>
    <w:link w:val="Heading2"/>
    <w:uiPriority w:val="9"/>
    <w:rsid w:val="00153A4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58395">
      <w:bodyDiv w:val="1"/>
      <w:marLeft w:val="0"/>
      <w:marRight w:val="0"/>
      <w:marTop w:val="0"/>
      <w:marBottom w:val="0"/>
      <w:divBdr>
        <w:top w:val="none" w:sz="0" w:space="0" w:color="auto"/>
        <w:left w:val="none" w:sz="0" w:space="0" w:color="auto"/>
        <w:bottom w:val="none" w:sz="0" w:space="0" w:color="auto"/>
        <w:right w:val="none" w:sz="0" w:space="0" w:color="auto"/>
      </w:divBdr>
      <w:divsChild>
        <w:div w:id="992947347">
          <w:marLeft w:val="0"/>
          <w:marRight w:val="0"/>
          <w:marTop w:val="0"/>
          <w:marBottom w:val="0"/>
          <w:divBdr>
            <w:top w:val="none" w:sz="0" w:space="0" w:color="auto"/>
            <w:left w:val="none" w:sz="0" w:space="0" w:color="auto"/>
            <w:bottom w:val="none" w:sz="0" w:space="0" w:color="auto"/>
            <w:right w:val="none" w:sz="0" w:space="0" w:color="auto"/>
          </w:divBdr>
          <w:divsChild>
            <w:div w:id="282462010">
              <w:marLeft w:val="0"/>
              <w:marRight w:val="0"/>
              <w:marTop w:val="0"/>
              <w:marBottom w:val="0"/>
              <w:divBdr>
                <w:top w:val="none" w:sz="0" w:space="0" w:color="auto"/>
                <w:left w:val="none" w:sz="0" w:space="0" w:color="auto"/>
                <w:bottom w:val="none" w:sz="0" w:space="0" w:color="auto"/>
                <w:right w:val="none" w:sz="0" w:space="0" w:color="auto"/>
              </w:divBdr>
              <w:divsChild>
                <w:div w:id="516116956">
                  <w:marLeft w:val="0"/>
                  <w:marRight w:val="0"/>
                  <w:marTop w:val="0"/>
                  <w:marBottom w:val="0"/>
                  <w:divBdr>
                    <w:top w:val="none" w:sz="0" w:space="0" w:color="auto"/>
                    <w:left w:val="none" w:sz="0" w:space="0" w:color="auto"/>
                    <w:bottom w:val="none" w:sz="0" w:space="0" w:color="auto"/>
                    <w:right w:val="none" w:sz="0" w:space="0" w:color="auto"/>
                  </w:divBdr>
                  <w:divsChild>
                    <w:div w:id="1659848173">
                      <w:marLeft w:val="0"/>
                      <w:marRight w:val="0"/>
                      <w:marTop w:val="0"/>
                      <w:marBottom w:val="720"/>
                      <w:divBdr>
                        <w:top w:val="none" w:sz="0" w:space="0" w:color="auto"/>
                        <w:left w:val="none" w:sz="0" w:space="0" w:color="auto"/>
                        <w:bottom w:val="none" w:sz="0" w:space="0" w:color="auto"/>
                        <w:right w:val="none" w:sz="0" w:space="0" w:color="auto"/>
                      </w:divBdr>
                      <w:divsChild>
                        <w:div w:id="1592350338">
                          <w:marLeft w:val="0"/>
                          <w:marRight w:val="-100"/>
                          <w:marTop w:val="120"/>
                          <w:marBottom w:val="0"/>
                          <w:divBdr>
                            <w:top w:val="none" w:sz="0" w:space="0" w:color="auto"/>
                            <w:left w:val="none" w:sz="0" w:space="0" w:color="auto"/>
                            <w:bottom w:val="none" w:sz="0" w:space="0" w:color="auto"/>
                            <w:right w:val="none" w:sz="0" w:space="0" w:color="auto"/>
                          </w:divBdr>
                          <w:divsChild>
                            <w:div w:id="1954744506">
                              <w:marLeft w:val="0"/>
                              <w:marRight w:val="0"/>
                              <w:marTop w:val="0"/>
                              <w:marBottom w:val="0"/>
                              <w:divBdr>
                                <w:top w:val="none" w:sz="0" w:space="0" w:color="auto"/>
                                <w:left w:val="none" w:sz="0" w:space="0" w:color="auto"/>
                                <w:bottom w:val="none" w:sz="0" w:space="0" w:color="auto"/>
                                <w:right w:val="none" w:sz="0" w:space="0" w:color="auto"/>
                              </w:divBdr>
                              <w:divsChild>
                                <w:div w:id="63185975">
                                  <w:marLeft w:val="0"/>
                                  <w:marRight w:val="0"/>
                                  <w:marTop w:val="0"/>
                                  <w:marBottom w:val="0"/>
                                  <w:divBdr>
                                    <w:top w:val="none" w:sz="0" w:space="0" w:color="auto"/>
                                    <w:left w:val="none" w:sz="0" w:space="0" w:color="auto"/>
                                    <w:bottom w:val="none" w:sz="0" w:space="0" w:color="auto"/>
                                    <w:right w:val="none" w:sz="0" w:space="0" w:color="auto"/>
                                  </w:divBdr>
                                  <w:divsChild>
                                    <w:div w:id="1028334808">
                                      <w:marLeft w:val="0"/>
                                      <w:marRight w:val="0"/>
                                      <w:marTop w:val="0"/>
                                      <w:marBottom w:val="0"/>
                                      <w:divBdr>
                                        <w:top w:val="none" w:sz="0" w:space="0" w:color="auto"/>
                                        <w:left w:val="none" w:sz="0" w:space="0" w:color="auto"/>
                                        <w:bottom w:val="none" w:sz="0" w:space="0" w:color="auto"/>
                                        <w:right w:val="none" w:sz="0" w:space="0" w:color="auto"/>
                                      </w:divBdr>
                                      <w:divsChild>
                                        <w:div w:id="19551636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162710">
      <w:bodyDiv w:val="1"/>
      <w:marLeft w:val="0"/>
      <w:marRight w:val="0"/>
      <w:marTop w:val="0"/>
      <w:marBottom w:val="0"/>
      <w:divBdr>
        <w:top w:val="none" w:sz="0" w:space="0" w:color="auto"/>
        <w:left w:val="none" w:sz="0" w:space="0" w:color="auto"/>
        <w:bottom w:val="none" w:sz="0" w:space="0" w:color="auto"/>
        <w:right w:val="none" w:sz="0" w:space="0" w:color="auto"/>
      </w:divBdr>
      <w:divsChild>
        <w:div w:id="1241594902">
          <w:marLeft w:val="0"/>
          <w:marRight w:val="0"/>
          <w:marTop w:val="0"/>
          <w:marBottom w:val="0"/>
          <w:divBdr>
            <w:top w:val="none" w:sz="0" w:space="0" w:color="auto"/>
            <w:left w:val="none" w:sz="0" w:space="0" w:color="auto"/>
            <w:bottom w:val="none" w:sz="0" w:space="0" w:color="auto"/>
            <w:right w:val="none" w:sz="0" w:space="0" w:color="auto"/>
          </w:divBdr>
          <w:divsChild>
            <w:div w:id="577398549">
              <w:marLeft w:val="0"/>
              <w:marRight w:val="0"/>
              <w:marTop w:val="0"/>
              <w:marBottom w:val="0"/>
              <w:divBdr>
                <w:top w:val="none" w:sz="0" w:space="0" w:color="auto"/>
                <w:left w:val="none" w:sz="0" w:space="0" w:color="auto"/>
                <w:bottom w:val="none" w:sz="0" w:space="0" w:color="auto"/>
                <w:right w:val="none" w:sz="0" w:space="0" w:color="auto"/>
              </w:divBdr>
              <w:divsChild>
                <w:div w:id="1462457991">
                  <w:marLeft w:val="0"/>
                  <w:marRight w:val="0"/>
                  <w:marTop w:val="0"/>
                  <w:marBottom w:val="0"/>
                  <w:divBdr>
                    <w:top w:val="none" w:sz="0" w:space="0" w:color="auto"/>
                    <w:left w:val="none" w:sz="0" w:space="0" w:color="auto"/>
                    <w:bottom w:val="none" w:sz="0" w:space="0" w:color="auto"/>
                    <w:right w:val="none" w:sz="0" w:space="0" w:color="auto"/>
                  </w:divBdr>
                  <w:divsChild>
                    <w:div w:id="128862135">
                      <w:marLeft w:val="0"/>
                      <w:marRight w:val="0"/>
                      <w:marTop w:val="0"/>
                      <w:marBottom w:val="720"/>
                      <w:divBdr>
                        <w:top w:val="none" w:sz="0" w:space="0" w:color="auto"/>
                        <w:left w:val="none" w:sz="0" w:space="0" w:color="auto"/>
                        <w:bottom w:val="none" w:sz="0" w:space="0" w:color="auto"/>
                        <w:right w:val="none" w:sz="0" w:space="0" w:color="auto"/>
                      </w:divBdr>
                      <w:divsChild>
                        <w:div w:id="1668903687">
                          <w:marLeft w:val="0"/>
                          <w:marRight w:val="-100"/>
                          <w:marTop w:val="120"/>
                          <w:marBottom w:val="0"/>
                          <w:divBdr>
                            <w:top w:val="none" w:sz="0" w:space="0" w:color="auto"/>
                            <w:left w:val="none" w:sz="0" w:space="0" w:color="auto"/>
                            <w:bottom w:val="none" w:sz="0" w:space="0" w:color="auto"/>
                            <w:right w:val="none" w:sz="0" w:space="0" w:color="auto"/>
                          </w:divBdr>
                          <w:divsChild>
                            <w:div w:id="781148706">
                              <w:marLeft w:val="0"/>
                              <w:marRight w:val="0"/>
                              <w:marTop w:val="0"/>
                              <w:marBottom w:val="0"/>
                              <w:divBdr>
                                <w:top w:val="none" w:sz="0" w:space="0" w:color="auto"/>
                                <w:left w:val="none" w:sz="0" w:space="0" w:color="auto"/>
                                <w:bottom w:val="none" w:sz="0" w:space="0" w:color="auto"/>
                                <w:right w:val="none" w:sz="0" w:space="0" w:color="auto"/>
                              </w:divBdr>
                              <w:divsChild>
                                <w:div w:id="2131705658">
                                  <w:marLeft w:val="0"/>
                                  <w:marRight w:val="0"/>
                                  <w:marTop w:val="0"/>
                                  <w:marBottom w:val="0"/>
                                  <w:divBdr>
                                    <w:top w:val="none" w:sz="0" w:space="0" w:color="auto"/>
                                    <w:left w:val="none" w:sz="0" w:space="0" w:color="auto"/>
                                    <w:bottom w:val="none" w:sz="0" w:space="0" w:color="auto"/>
                                    <w:right w:val="none" w:sz="0" w:space="0" w:color="auto"/>
                                  </w:divBdr>
                                  <w:divsChild>
                                    <w:div w:id="1385256859">
                                      <w:marLeft w:val="0"/>
                                      <w:marRight w:val="0"/>
                                      <w:marTop w:val="0"/>
                                      <w:marBottom w:val="0"/>
                                      <w:divBdr>
                                        <w:top w:val="none" w:sz="0" w:space="0" w:color="auto"/>
                                        <w:left w:val="none" w:sz="0" w:space="0" w:color="auto"/>
                                        <w:bottom w:val="none" w:sz="0" w:space="0" w:color="auto"/>
                                        <w:right w:val="none" w:sz="0" w:space="0" w:color="auto"/>
                                      </w:divBdr>
                                      <w:divsChild>
                                        <w:div w:id="1768884235">
                                          <w:marLeft w:val="240"/>
                                          <w:marRight w:val="240"/>
                                          <w:marTop w:val="0"/>
                                          <w:marBottom w:val="0"/>
                                          <w:divBdr>
                                            <w:top w:val="none" w:sz="0" w:space="0" w:color="auto"/>
                                            <w:left w:val="none" w:sz="0" w:space="0" w:color="auto"/>
                                            <w:bottom w:val="none" w:sz="0" w:space="0" w:color="auto"/>
                                            <w:right w:val="none" w:sz="0" w:space="0" w:color="auto"/>
                                          </w:divBdr>
                                        </w:div>
                                        <w:div w:id="1778182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egiscan.com/IL/text/HB3429/20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iscan.com/IL/bill/HB3429/201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Fallon-Houle, Nancy</dc:creator>
  <cp:keywords/>
  <dc:description/>
  <cp:lastModifiedBy>Fallon-Houle, Nancy</cp:lastModifiedBy>
  <cp:revision>2</cp:revision>
  <dcterms:created xsi:type="dcterms:W3CDTF">2015-10-02T13:41:00Z</dcterms:created>
  <dcterms:modified xsi:type="dcterms:W3CDTF">2015-10-03T01:38:00Z</dcterms:modified>
</cp:coreProperties>
</file>